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7A76" w:rsidRDefault="008F7A76" w:rsidP="008F7A76">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I believe that global corporations have a responsibility to fight poverty.  There is significant research to support that global organizations have a responsibility to combat poverty within the world.  The recommendation in the article, </w:t>
      </w:r>
      <w:r>
        <w:rPr>
          <w:i/>
          <w:iCs/>
          <w:color w:val="494C4E"/>
          <w:spacing w:val="3"/>
          <w:bdr w:val="none" w:sz="0" w:space="0" w:color="auto" w:frame="1"/>
        </w:rPr>
        <w:t>Fighting Poverty to Build Peace </w:t>
      </w:r>
      <w:r>
        <w:rPr>
          <w:color w:val="494C4E"/>
          <w:spacing w:val="3"/>
          <w:bdr w:val="none" w:sz="0" w:space="0" w:color="auto" w:frame="1"/>
        </w:rPr>
        <w:t>(2009), states that corporations and individuals have a responsibility to fight poverty, specifically, as poverty is said to be a contributor to conflict within society (“Fighting poverty to build peace,” 2009).  Indeed, if poverty contributes to conflict, then the fight against poverty may indeed reduce the friction among and between countries.  Additionally, Dodd (1932) postulates that corporate managers are indeed responsible to all stakeholders, which would include the numerous poverty-stricken individuals within their communities. Moreover, Nadar (1965) states that business has a responsibility to the communities and individuals.  Companies should not only contribute to their communities, but they also have a responsibility to ensure their products are safe.  Finally, Cochran (2007) posits that financial and social concerns cannot be isolated.  Poverty can be fought through well-placed tactics such as individual and social responsibility by the five billion; who are those that are gaining wealth in </w:t>
      </w:r>
      <w:r>
        <w:rPr>
          <w:i/>
          <w:iCs/>
          <w:color w:val="494C4E"/>
          <w:spacing w:val="3"/>
          <w:bdr w:val="none" w:sz="0" w:space="0" w:color="auto" w:frame="1"/>
        </w:rPr>
        <w:t>developing countries</w:t>
      </w:r>
      <w:r>
        <w:rPr>
          <w:color w:val="494C4E"/>
          <w:spacing w:val="3"/>
          <w:bdr w:val="none" w:sz="0" w:space="0" w:color="auto" w:frame="1"/>
        </w:rPr>
        <w:t> at a rapid rate (Collier, 2007).</w:t>
      </w:r>
    </w:p>
    <w:p w:rsidR="008F7A76" w:rsidRDefault="008F7A76" w:rsidP="008F7A76">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Conversely, there is considerable research, which suggests that the war against poverty is not a corporate responsibility.  </w:t>
      </w:r>
      <w:proofErr w:type="spellStart"/>
      <w:r>
        <w:rPr>
          <w:color w:val="494C4E"/>
          <w:spacing w:val="3"/>
          <w:bdr w:val="none" w:sz="0" w:space="0" w:color="auto" w:frame="1"/>
        </w:rPr>
        <w:t>Berle</w:t>
      </w:r>
      <w:proofErr w:type="spellEnd"/>
      <w:r>
        <w:rPr>
          <w:color w:val="494C4E"/>
          <w:spacing w:val="3"/>
          <w:bdr w:val="none" w:sz="0" w:space="0" w:color="auto" w:frame="1"/>
        </w:rPr>
        <w:t xml:space="preserve"> (1954) suggests that businesses are only responsible to the shareholders and not the stakeholders.  Likewise, Friedman (1970) posits that organizations only have a legal responsibility to contribute to the needs of societies.  Similarly, Friedman (1970) postulates that a company’s primary goal should be to focus on the profits of the company, suggesting that government agencies should deal with social issues.  Furthermore, contributing to social responsibility may indeed raise costs for a company and, therefore, should not be the primary focus of organizations (Friedman (1970).</w:t>
      </w:r>
    </w:p>
    <w:p w:rsidR="008F7A76" w:rsidRDefault="008F7A76" w:rsidP="008F7A76">
      <w:pPr>
        <w:pStyle w:val="NormalWeb"/>
        <w:shd w:val="clear" w:color="auto" w:fill="FFFFFF"/>
        <w:spacing w:before="0" w:beforeAutospacing="0" w:after="0" w:afterAutospacing="0" w:line="440" w:lineRule="atLeast"/>
        <w:ind w:firstLine="720"/>
        <w:rPr>
          <w:rFonts w:ascii="Calibri" w:hAnsi="Calibri" w:cs="Calibri"/>
          <w:color w:val="494C4E"/>
          <w:spacing w:val="3"/>
          <w:sz w:val="22"/>
          <w:szCs w:val="22"/>
        </w:rPr>
      </w:pPr>
      <w:r>
        <w:rPr>
          <w:color w:val="494C4E"/>
          <w:spacing w:val="3"/>
          <w:bdr w:val="none" w:sz="0" w:space="0" w:color="auto" w:frame="1"/>
        </w:rPr>
        <w:t xml:space="preserve">What about the bottom billion?  The bottom billion are fifty economies with nearly one billion people who have faced minimal or no financial growth over the 1980s and 1990s (Collier, 2008).  To assist the bottom billion, Collier (2007) suggests that global leadership should focus on trade policies that give special access to the bottom billion and encourage free trade.  Moreover, corporations should not act in a vacuum when making decisions they believe will aid the bottom billion.  Instead, these organizations should collaborate to ensure </w:t>
      </w:r>
      <w:r>
        <w:rPr>
          <w:color w:val="494C4E"/>
          <w:spacing w:val="3"/>
          <w:bdr w:val="none" w:sz="0" w:space="0" w:color="auto" w:frame="1"/>
        </w:rPr>
        <w:lastRenderedPageBreak/>
        <w:t>these individuals need their well-intended efforts.  Additionally, Collier (2007) states that aide groups should present a strong presence in these bottom billion countries.  Furthermore, focused military intervention may be a way that democratic governments can assist the bottom billion (Collier, 2007).</w:t>
      </w:r>
    </w:p>
    <w:p w:rsidR="008F7A76" w:rsidRDefault="008F7A76" w:rsidP="008F7A76">
      <w:pPr>
        <w:pStyle w:val="NormalWeb"/>
        <w:shd w:val="clear" w:color="auto" w:fill="FFFFFF"/>
        <w:spacing w:before="0" w:beforeAutospacing="0" w:after="0" w:afterAutospacing="0" w:line="440" w:lineRule="atLeast"/>
        <w:jc w:val="center"/>
        <w:rPr>
          <w:rFonts w:ascii="Calibri" w:hAnsi="Calibri" w:cs="Calibri"/>
          <w:color w:val="494C4E"/>
          <w:spacing w:val="3"/>
          <w:sz w:val="22"/>
          <w:szCs w:val="22"/>
        </w:rPr>
      </w:pPr>
      <w:r>
        <w:rPr>
          <w:color w:val="494C4E"/>
          <w:spacing w:val="3"/>
          <w:bdr w:val="none" w:sz="0" w:space="0" w:color="auto" w:frame="1"/>
        </w:rPr>
        <w:t>References</w:t>
      </w:r>
    </w:p>
    <w:p w:rsidR="008F7A76" w:rsidRDefault="008F7A76" w:rsidP="008F7A76">
      <w:pPr>
        <w:pStyle w:val="NormalWeb"/>
        <w:shd w:val="clear" w:color="auto" w:fill="FFFFFF"/>
        <w:spacing w:before="0" w:beforeAutospacing="0" w:after="0" w:afterAutospacing="0" w:line="440" w:lineRule="atLeast"/>
        <w:rPr>
          <w:rFonts w:ascii="Calibri" w:hAnsi="Calibri" w:cs="Calibri"/>
          <w:color w:val="494C4E"/>
          <w:spacing w:val="3"/>
          <w:sz w:val="22"/>
          <w:szCs w:val="22"/>
        </w:rPr>
      </w:pPr>
      <w:proofErr w:type="spellStart"/>
      <w:r>
        <w:rPr>
          <w:color w:val="494C4E"/>
          <w:spacing w:val="3"/>
          <w:bdr w:val="none" w:sz="0" w:space="0" w:color="auto" w:frame="1"/>
        </w:rPr>
        <w:t>Berle</w:t>
      </w:r>
      <w:proofErr w:type="spellEnd"/>
      <w:r>
        <w:rPr>
          <w:color w:val="494C4E"/>
          <w:spacing w:val="3"/>
          <w:bdr w:val="none" w:sz="0" w:space="0" w:color="auto" w:frame="1"/>
        </w:rPr>
        <w:t>, A. (1954). </w:t>
      </w:r>
      <w:r>
        <w:rPr>
          <w:i/>
          <w:iCs/>
          <w:color w:val="494C4E"/>
          <w:spacing w:val="3"/>
          <w:bdr w:val="none" w:sz="0" w:space="0" w:color="auto" w:frame="1"/>
        </w:rPr>
        <w:t>The 20</w:t>
      </w:r>
      <w:r>
        <w:rPr>
          <w:i/>
          <w:iCs/>
          <w:color w:val="494C4E"/>
          <w:spacing w:val="3"/>
          <w:bdr w:val="none" w:sz="0" w:space="0" w:color="auto" w:frame="1"/>
          <w:vertAlign w:val="superscript"/>
        </w:rPr>
        <w:t>th</w:t>
      </w:r>
      <w:r>
        <w:rPr>
          <w:i/>
          <w:iCs/>
          <w:color w:val="494C4E"/>
          <w:spacing w:val="3"/>
          <w:bdr w:val="none" w:sz="0" w:space="0" w:color="auto" w:frame="1"/>
        </w:rPr>
        <w:t>-century capitalist revolution</w:t>
      </w:r>
      <w:r>
        <w:rPr>
          <w:color w:val="494C4E"/>
          <w:spacing w:val="3"/>
          <w:bdr w:val="none" w:sz="0" w:space="0" w:color="auto" w:frame="1"/>
        </w:rPr>
        <w:t>. New York, NY: Harcourt Brace.</w:t>
      </w:r>
    </w:p>
    <w:p w:rsidR="008F7A76" w:rsidRDefault="008F7A76" w:rsidP="008F7A7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000000"/>
          <w:spacing w:val="3"/>
          <w:bdr w:val="none" w:sz="0" w:space="0" w:color="auto" w:frame="1"/>
          <w:shd w:val="clear" w:color="auto" w:fill="FFFFFF"/>
        </w:rPr>
        <w:t>Cochran, P. (2007). The evolution of corporate social responsibility. </w:t>
      </w:r>
      <w:r>
        <w:rPr>
          <w:i/>
          <w:iCs/>
          <w:color w:val="000000"/>
          <w:spacing w:val="3"/>
          <w:bdr w:val="none" w:sz="0" w:space="0" w:color="auto" w:frame="1"/>
        </w:rPr>
        <w:t>Business Horizons,</w:t>
      </w:r>
      <w:r>
        <w:rPr>
          <w:color w:val="000000"/>
          <w:spacing w:val="3"/>
          <w:bdr w:val="none" w:sz="0" w:space="0" w:color="auto" w:frame="1"/>
          <w:shd w:val="clear" w:color="auto" w:fill="FFFFFF"/>
        </w:rPr>
        <w:t> </w:t>
      </w:r>
      <w:r>
        <w:rPr>
          <w:i/>
          <w:iCs/>
          <w:color w:val="000000"/>
          <w:spacing w:val="3"/>
          <w:bdr w:val="none" w:sz="0" w:space="0" w:color="auto" w:frame="1"/>
        </w:rPr>
        <w:t>50</w:t>
      </w:r>
      <w:r>
        <w:rPr>
          <w:color w:val="000000"/>
          <w:spacing w:val="3"/>
          <w:bdr w:val="none" w:sz="0" w:space="0" w:color="auto" w:frame="1"/>
          <w:shd w:val="clear" w:color="auto" w:fill="FFFFFF"/>
        </w:rPr>
        <w:t xml:space="preserve">(6), 449-454. </w:t>
      </w:r>
      <w:proofErr w:type="gramStart"/>
      <w:r>
        <w:rPr>
          <w:color w:val="000000"/>
          <w:spacing w:val="3"/>
          <w:bdr w:val="none" w:sz="0" w:space="0" w:color="auto" w:frame="1"/>
          <w:shd w:val="clear" w:color="auto" w:fill="FFFFFF"/>
        </w:rPr>
        <w:t>doi:10.1016/j.bushor</w:t>
      </w:r>
      <w:proofErr w:type="gramEnd"/>
      <w:r>
        <w:rPr>
          <w:color w:val="000000"/>
          <w:spacing w:val="3"/>
          <w:bdr w:val="none" w:sz="0" w:space="0" w:color="auto" w:frame="1"/>
          <w:shd w:val="clear" w:color="auto" w:fill="FFFFFF"/>
        </w:rPr>
        <w:t>.2007.06.004 </w:t>
      </w:r>
    </w:p>
    <w:p w:rsidR="008F7A76" w:rsidRDefault="008F7A76" w:rsidP="008F7A7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000000"/>
          <w:spacing w:val="3"/>
          <w:bdr w:val="none" w:sz="0" w:space="0" w:color="auto" w:frame="1"/>
          <w:shd w:val="clear" w:color="auto" w:fill="FFFFFF"/>
        </w:rPr>
        <w:t>Collier, P. (2007). </w:t>
      </w:r>
      <w:r>
        <w:rPr>
          <w:i/>
          <w:iCs/>
          <w:color w:val="000000"/>
          <w:spacing w:val="3"/>
          <w:bdr w:val="none" w:sz="0" w:space="0" w:color="auto" w:frame="1"/>
        </w:rPr>
        <w:t>The bottom billion: Why the poorest countries are failing and what can be done about it</w:t>
      </w:r>
      <w:r>
        <w:rPr>
          <w:color w:val="000000"/>
          <w:spacing w:val="3"/>
          <w:bdr w:val="none" w:sz="0" w:space="0" w:color="auto" w:frame="1"/>
          <w:shd w:val="clear" w:color="auto" w:fill="FFFFFF"/>
        </w:rPr>
        <w:t>. Oxford, England: Oxford University Press.</w:t>
      </w:r>
    </w:p>
    <w:p w:rsidR="008F7A76" w:rsidRDefault="008F7A76" w:rsidP="008F7A7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000000"/>
          <w:spacing w:val="3"/>
          <w:bdr w:val="none" w:sz="0" w:space="0" w:color="auto" w:frame="1"/>
          <w:shd w:val="clear" w:color="auto" w:fill="FFFFFF"/>
        </w:rPr>
        <w:t>Dodd, E. (1932). For Whom Are Corporate Managers Trustees? </w:t>
      </w:r>
      <w:r>
        <w:rPr>
          <w:i/>
          <w:iCs/>
          <w:color w:val="000000"/>
          <w:spacing w:val="3"/>
          <w:bdr w:val="none" w:sz="0" w:space="0" w:color="auto" w:frame="1"/>
        </w:rPr>
        <w:t>Harvard Law Review,</w:t>
      </w:r>
      <w:r>
        <w:rPr>
          <w:color w:val="000000"/>
          <w:spacing w:val="3"/>
          <w:bdr w:val="none" w:sz="0" w:space="0" w:color="auto" w:frame="1"/>
          <w:shd w:val="clear" w:color="auto" w:fill="FFFFFF"/>
        </w:rPr>
        <w:t> </w:t>
      </w:r>
      <w:r>
        <w:rPr>
          <w:i/>
          <w:iCs/>
          <w:color w:val="000000"/>
          <w:spacing w:val="3"/>
          <w:bdr w:val="none" w:sz="0" w:space="0" w:color="auto" w:frame="1"/>
        </w:rPr>
        <w:t>45</w:t>
      </w:r>
      <w:r>
        <w:rPr>
          <w:color w:val="000000"/>
          <w:spacing w:val="3"/>
          <w:bdr w:val="none" w:sz="0" w:space="0" w:color="auto" w:frame="1"/>
          <w:shd w:val="clear" w:color="auto" w:fill="FFFFFF"/>
        </w:rPr>
        <w:t>(7), 1145-1163. doi:10.2307/1331697</w:t>
      </w:r>
    </w:p>
    <w:p w:rsidR="008F7A76" w:rsidRDefault="008F7A76" w:rsidP="008F7A7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000000"/>
          <w:spacing w:val="3"/>
          <w:bdr w:val="none" w:sz="0" w:space="0" w:color="auto" w:frame="1"/>
          <w:shd w:val="clear" w:color="auto" w:fill="FFFFFF"/>
        </w:rPr>
        <w:t>Fighting poverty to build peace. (2009). Retrieved from </w:t>
      </w:r>
      <w:hyperlink r:id="rId4" w:history="1">
        <w:r>
          <w:rPr>
            <w:rStyle w:val="Hyperlink"/>
            <w:color w:val="000000"/>
            <w:spacing w:val="3"/>
            <w:bdr w:val="none" w:sz="0" w:space="0" w:color="auto" w:frame="1"/>
          </w:rPr>
          <w:t>http://www.usccb.org/issues-and-action/human-life-and-dignity/war-and-peace/upload/2009-01-01-bulletin-world-day-peace-resource.pdf</w:t>
        </w:r>
      </w:hyperlink>
    </w:p>
    <w:p w:rsidR="008F7A76" w:rsidRDefault="008F7A76" w:rsidP="008F7A7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Nadar, R. (1965). </w:t>
      </w:r>
      <w:r>
        <w:rPr>
          <w:i/>
          <w:iCs/>
          <w:color w:val="494C4E"/>
          <w:spacing w:val="3"/>
          <w:bdr w:val="none" w:sz="0" w:space="0" w:color="auto" w:frame="1"/>
        </w:rPr>
        <w:t>Unsafe at any speed</w:t>
      </w:r>
      <w:r>
        <w:rPr>
          <w:color w:val="494C4E"/>
          <w:spacing w:val="3"/>
          <w:bdr w:val="none" w:sz="0" w:space="0" w:color="auto" w:frame="1"/>
        </w:rPr>
        <w:t>. New York, NY: Grossman Publishers.</w:t>
      </w:r>
    </w:p>
    <w:p w:rsidR="008F7A76" w:rsidRDefault="008F7A76" w:rsidP="008F7A76">
      <w:pPr>
        <w:pStyle w:val="NormalWeb"/>
        <w:shd w:val="clear" w:color="auto" w:fill="FFFFFF"/>
        <w:spacing w:before="0" w:beforeAutospacing="0" w:after="0" w:afterAutospacing="0" w:line="440" w:lineRule="atLeast"/>
        <w:ind w:left="720" w:hanging="720"/>
        <w:rPr>
          <w:rFonts w:ascii="Calibri" w:hAnsi="Calibri" w:cs="Calibri"/>
          <w:color w:val="494C4E"/>
          <w:spacing w:val="3"/>
          <w:sz w:val="22"/>
          <w:szCs w:val="22"/>
        </w:rPr>
      </w:pPr>
      <w:r>
        <w:rPr>
          <w:color w:val="494C4E"/>
          <w:spacing w:val="3"/>
          <w:bdr w:val="none" w:sz="0" w:space="0" w:color="auto" w:frame="1"/>
        </w:rPr>
        <w:t>Friedman, M. (1970). The social responsibility of business is to increase its profit. </w:t>
      </w:r>
      <w:r>
        <w:rPr>
          <w:i/>
          <w:iCs/>
          <w:color w:val="494C4E"/>
          <w:spacing w:val="3"/>
          <w:bdr w:val="none" w:sz="0" w:space="0" w:color="auto" w:frame="1"/>
        </w:rPr>
        <w:t>The New York Times Magazine.</w:t>
      </w:r>
    </w:p>
    <w:p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A76"/>
    <w:rsid w:val="008F7A76"/>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F602B6-5AFF-4726-89C3-DD04700B7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7A7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F7A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3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usccb.org/issues-and-action/human-life-and-dignity/war-and-peace/upload/2009-01-01-bulletin-world-day-peace-resourc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588</Words>
  <Characters>3353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1</cp:revision>
  <dcterms:created xsi:type="dcterms:W3CDTF">2019-10-09T23:06:00Z</dcterms:created>
  <dcterms:modified xsi:type="dcterms:W3CDTF">2019-10-09T23:07:00Z</dcterms:modified>
</cp:coreProperties>
</file>